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left="0" w:right="0" w:firstLine="0"/>
        <w:jc w:val="left"/>
      </w:pPr>
      <w:r>
        <w:rPr>
          <w:rFonts w:ascii="Tahoma" w:hAnsi="Tahoma" w:eastAsia="Tahoma" w:cs="Tahoma"/>
          <w:b w:val="0"/>
          <w:bCs w:val="0"/>
          <w:i w:val="0"/>
          <w:iCs w:val="0"/>
          <w:strike w:val="0"/>
          <w:position w:val="0"/>
          <w:sz w:val="20"/>
          <w:szCs w:val="20"/>
          <w:u w:val="none"/>
        </w:rPr>
        <w:t xml:space="preserve">Документ предоставлен </w:t>
      </w:r>
      <w:hyperlink r:id="rId9" w:tooltip="https://www.consultant.ru/" w:history="1">
        <w:r>
          <w:rPr>
            <w:rStyle w:val="637"/>
          </w:rPr>
        </w:r>
        <w:r>
          <w:rPr>
            <w:rStyle w:val="637"/>
            <w:rFonts w:ascii="Tahoma" w:hAnsi="Tahoma" w:eastAsia="Tahoma" w:cs="Tahoma"/>
            <w:b w:val="0"/>
            <w:bCs w:val="0"/>
            <w:i w:val="0"/>
            <w:iCs w:val="0"/>
            <w:strike w:val="0"/>
            <w:color w:val="0000ff"/>
            <w:position w:val="0"/>
            <w:sz w:val="20"/>
            <w:szCs w:val="20"/>
            <w:u w:val="none"/>
          </w:rPr>
          <w:t xml:space="preserve">КонсультантПлюс</w:t>
        </w:r>
      </w:hyperlink>
      <w:r>
        <w:rPr>
          <w:rFonts w:ascii="Tahoma" w:hAnsi="Tahoma" w:eastAsia="Tahoma" w:cs="Tahoma"/>
          <w:b w:val="0"/>
          <w:bCs w:val="0"/>
          <w:i w:val="0"/>
          <w:iCs w:val="0"/>
          <w:strike w:val="0"/>
          <w:position w:val="0"/>
          <w:sz w:val="20"/>
          <w:szCs w:val="20"/>
          <w:u w:val="none"/>
        </w:rPr>
        <w:br/>
      </w:r>
      <w:r/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ДУМА БЕЛОЯРСКОГО РАЙОНА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от 13 февраля 2020 г. N 5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ОБ УТВЕРЖДЕНИИ ПРАВИЛ ПРЕДОСТАВЛЕНИЯ МЕЖБЮДЖЕТНЫХ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ТРАНСФЕРТОВ ИЗ БЮДЖЕТА БЕЛОЯРСКОГО РАЙОНА БЮДЖЕТАМ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ГОРОДСКОГО И СЕЛЬСКИХ ПОСЕЛЕНИЙ В ГРАНИЦАХ БЕЛОЯРСКОГО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РАЙОНА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</w:pPr>
      <w:r/>
      <w:r/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60"/>
        <w:gridCol w:w="113"/>
        <w:gridCol w:w="935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9351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Список изменяющих документов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  <w:p>
            <w:pPr>
              <w:pStyle w:val="626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(в ред. решений Думы Белоярского района от 10.08.2023 </w:t>
            </w:r>
            <w:hyperlink r:id="rId10" w:tooltip="https://login.consultant.ru/link/?req=doc&amp;amp;base=RLAW926&amp;amp;n=285793&amp;amp;dst=100005" w:history="1">
              <w:r>
                <w:rPr>
                  <w:rStyle w:val="637"/>
                </w:rPr>
              </w:r>
              <w:r>
                <w:rPr>
                  <w:rStyle w:val="637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color w:val="0000ff"/>
                  <w:position w:val="0"/>
                  <w:sz w:val="24"/>
                  <w:szCs w:val="24"/>
                  <w:u w:val="none"/>
                </w:rPr>
                <w:t xml:space="preserve">N 35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,</w:t>
            </w:r>
            <w:r/>
          </w:p>
          <w:p>
            <w:pPr>
              <w:pStyle w:val="626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от 20.02.2025 </w:t>
            </w:r>
            <w:hyperlink r:id="rId11" w:tooltip="https://login.consultant.ru/link/?req=doc&amp;amp;base=RLAW926&amp;amp;n=318926&amp;amp;dst=100005" w:history="1">
              <w:r>
                <w:rPr>
                  <w:rStyle w:val="637"/>
                </w:rPr>
              </w:r>
              <w:r>
                <w:rPr>
                  <w:rStyle w:val="637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color w:val="0000ff"/>
                  <w:position w:val="0"/>
                  <w:sz w:val="24"/>
                  <w:szCs w:val="24"/>
                  <w:u w:val="none"/>
                </w:rPr>
                <w:t xml:space="preserve">N 4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</w:tc>
      </w:tr>
    </w:tbl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соответствии со </w:t>
      </w:r>
      <w:hyperlink r:id="rId12" w:tooltip="https://login.consultant.ru/link/?req=doc&amp;amp;base=LAW&amp;amp;n=511241&amp;amp;dst=5745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статьями 142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, </w:t>
      </w:r>
      <w:hyperlink r:id="rId13" w:tooltip="https://login.consultant.ru/link/?req=doc&amp;amp;base=LAW&amp;amp;n=511241&amp;amp;dst=5754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142.1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, </w:t>
      </w:r>
      <w:hyperlink r:id="rId14" w:tooltip="https://login.consultant.ru/link/?req=doc&amp;amp;base=LAW&amp;amp;n=511241&amp;amp;dst=5768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142.3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, </w:t>
      </w:r>
      <w:hyperlink r:id="rId15" w:tooltip="https://login.consultant.ru/link/?req=doc&amp;amp;base=LAW&amp;amp;n=511241&amp;amp;dst=4210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142.4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Бюджетного кодекса Российской Федерации от 31 июля 1998 года N 145-ФЗ, с </w:t>
      </w:r>
      <w:hyperlink r:id="rId16" w:tooltip="https://login.consultant.ru/link/?req=doc&amp;amp;base=RLAW926&amp;amp;n=313251&amp;amp;dst=100800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главой 3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Закона Ханты-Мансийского автономного округа - Югры от 10 ноября 2008 года N 132-оз "О межбюджетных отношениях в Ханты-Мансийском автономном округе - Югре" Дума Белоярского района решила:</w:t>
      </w:r>
      <w:r/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 Утвердить прилагаемые </w:t>
      </w:r>
      <w:hyperlink r:id="rId17" w:tooltip="#Par37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Правила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предоставления межбюджетных трансфертов из бюджета Белоярского района бюджетам городского и сельских поселений в границах Белоярского района.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 Признать утратившими силу решения Думы Белоярского района: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1) </w:t>
      </w:r>
      <w:hyperlink r:id="rId18" w:tooltip="https://login.consultant.ru/link/?req=doc&amp;amp;base=RLAW926&amp;amp;n=157633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решение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15 ноября 2016 года N 62 "Об утверждении Порядка предоставления межбюджетных трансфертов из бюджета Белоярского района";</w:t>
      </w:r>
      <w:r/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2) </w:t>
      </w:r>
      <w:hyperlink r:id="rId19" w:tooltip="https://login.consultant.ru/link/?req=doc&amp;amp;base=RLAW926&amp;amp;n=155725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решение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18 июля 2017 года N 46 "О внесении изменений в Порядок предоставления межбюджетных трансфертов из бюджета Белоярского района".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 Опубликовать настоящее решение в газете "Белоярские вести. Официальный выпуск".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 Настоящее решение вступает в силу после его официального опубликования и распространяется на правоотношения, возникшие с 1 января 2020 года.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Временно исполняющий полномочия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председателя Думы Белоярского района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Ю.Ю.ГРОМОВОЙ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Глава Белоярского района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С.П.МАНЕНКОВ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sectPr>
          <w:footnotePr/>
          <w:endnotePr/>
          <w:type w:val="nextPage"/>
          <w:pgSz w:w="11905" w:h="16837" w:orient="portrait"/>
          <w:pgMar w:top="1134" w:right="1134" w:bottom="1134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Утверждены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решением Думы Белоярского района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от 13 февраля 2020 года N 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/>
      <w:bookmarkStart w:id="1" w:name="Par37"/>
      <w:r/>
      <w:bookmarkEnd w:id="1"/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ПРАВИЛА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ПРЕДОСТАВЛЕНИЯ МЕЖБЮДЖЕТНЫХ ТРАНСФЕРТОВ ИЗ БЮДЖЕТА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БЕЛОЯРСКОГО РАЙОНА БЮДЖЕТАМ ГОРОДСКОГО И СЕЛЬСКИХ ПОСЕЛЕНИЙ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В ГРАНИЦАХ БЕЛОЯРСКОГО РАЙОНА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</w:pPr>
      <w:r/>
      <w:r/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60"/>
        <w:gridCol w:w="113"/>
        <w:gridCol w:w="935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9351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Список изменяющих документов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  <w:p>
            <w:pPr>
              <w:pStyle w:val="626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(в ред. решений Думы Белоярского района от 10.08.2023 </w:t>
            </w:r>
            <w:hyperlink r:id="rId20" w:tooltip="https://login.consultant.ru/link/?req=doc&amp;amp;base=RLAW926&amp;amp;n=285793&amp;amp;dst=100005" w:history="1">
              <w:r>
                <w:rPr>
                  <w:rStyle w:val="637"/>
                </w:rPr>
              </w:r>
              <w:r>
                <w:rPr>
                  <w:rStyle w:val="637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color w:val="0000ff"/>
                  <w:position w:val="0"/>
                  <w:sz w:val="24"/>
                  <w:szCs w:val="24"/>
                  <w:u w:val="none"/>
                </w:rPr>
                <w:t xml:space="preserve">N 35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,</w:t>
            </w:r>
            <w:r/>
          </w:p>
          <w:p>
            <w:pPr>
              <w:pStyle w:val="626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от 20.02.2025 </w:t>
            </w:r>
            <w:hyperlink r:id="rId21" w:tooltip="https://login.consultant.ru/link/?req=doc&amp;amp;base=RLAW926&amp;amp;n=318926&amp;amp;dst=100005" w:history="1">
              <w:r>
                <w:rPr>
                  <w:rStyle w:val="637"/>
                </w:rPr>
              </w:r>
              <w:r>
                <w:rPr>
                  <w:rStyle w:val="637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color w:val="0000ff"/>
                  <w:position w:val="0"/>
                  <w:sz w:val="24"/>
                  <w:szCs w:val="24"/>
                  <w:u w:val="none"/>
                </w:rPr>
                <w:t xml:space="preserve">N 4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</w:tc>
      </w:tr>
    </w:tbl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I. Общие положения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1.1. Настоящие Правила устанавлив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ают порядок регулирования межбюджетных отношений в Белоярском районе и условия предоставления межбюджетных трансфертов бюджетам городского и сельских поселений в границах Белоярского района (далее - поселения) из бюджета Белоярского района (далее - район).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1.2. Межбюджетные трансферты из бюджета района предоставляются в форме: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дотаций на выравнивание бюджетной обеспеченности поселений;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субвенций из бюджета района бюджетам поселений в случаях, установленных </w:t>
      </w:r>
      <w:hyperlink r:id="rId22" w:tooltip="https://login.consultant.ru/link/?req=doc&amp;amp;base=LAW&amp;amp;n=511241&amp;amp;dst=2068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статьями 133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и </w:t>
      </w:r>
      <w:hyperlink r:id="rId23" w:tooltip="https://login.consultant.ru/link/?req=doc&amp;amp;base=LAW&amp;amp;n=511241&amp;amp;dst=2141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140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Бюджетного кодекса Российской Федерации от 31 июля 1998 года N 145-ФЗ;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субсидий бюджетам поселений;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иных межбюджетных трансфертов.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1.3. Предоставление межбюджетных трансфертов из бюджета района осуществляется в соответствии с Бюджетным </w:t>
      </w:r>
      <w:hyperlink r:id="rId24" w:tooltip="https://login.consultant.ru/link/?req=doc&amp;amp;base=LAW&amp;amp;n=511241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кодексом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Российской Федерации, </w:t>
      </w:r>
      <w:hyperlink r:id="rId25" w:tooltip="https://login.consultant.ru/link/?req=doc&amp;amp;base=RLAW926&amp;amp;n=313251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Законом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Ханты-Мансийского автономного округа - Югры от 10 но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ября 2008 года N 132-оз "О межбюджетных отношениях в Ханты-Мансийском автономном округе - Югре", настоящими Правилами, а также иными нормативными правовыми актами Ханты-Мансийского автономного округа - Югры и района, регулирующими бюджетные правоотношения.</w:t>
      </w:r>
      <w:r/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1.4. Понятия и термины, используемые в настоящем решении, принимаются в значениях, определенных Бюджетным </w:t>
      </w:r>
      <w:hyperlink r:id="rId26" w:tooltip="https://login.consultant.ru/link/?req=doc&amp;amp;base=LAW&amp;amp;n=511241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кодексом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Российской Федерации.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1.5. Объем межбюджетных трансфертов в разрезе поселений утверждается решением о бюджете района на очередной финансовый год и плановый период.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1.6. Не использованные по состоянию на 1 января тек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ущего финансового года межбюджетные трансферты, полученные бюджетами поселений из бюджета района, имеющие целевое назначение, подлежат возврату в доход бюджета района в порядке, установленном Комитетом по финансам и налоговой политике администрации района.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II. Порядок предоставления дотаций на выравнивание бюджетной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обеспеченности поселений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2.1. Дотации на выравнивание бюджетной обеспеченности поселений предусматриваются в бюджете района в целях выравнивания финансовых возможностей поселений по решению вопросов местного значения.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2.2. Определить уполномоченным органом, осуществляющим реализацию государственного полномочия по расчету и предоставлению дотаций на выравнивание бюджетной обеспеченности поселений бюджетам поселений, администрацию Белоярского района (далее - район).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2.3. Расчет дотаций на выравнивание бюджетной обеспеченности поселений осуществляется Комитетом по финансам и налоговой политике администрации района (далее - Комитет по финансам).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При определении общего объема дотаций на выравнивание бюджетной обеспеченности поселений могут быть использованы следующие методы: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процентах от собственных доходов бюджета района;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процентах от объема расходных обязательств поселений;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процентах от разницы в оценках суммарных расходных потребностей и доходных возможностей городских, сельских поселений;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путем индексации установленного в текущем финансовом году объ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ема дотаций на выравнивание бюджетной обеспеченности поселений на индекс потребительских цен (декабрь к декабрю предыдущего года) в соответствии с показателями прогноза социально-экономического развития района на очередной финансовый год и плановый период.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До внесения проекта решени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я Думы района о бюджете на очередной финансовый год и плановый период правовым актом Комитета по финансам определяется метод для расчета общего объема дотации на выравнивание бюджетной обеспеченности поселений на очередной финансовый год и плановый период.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2.4. Объем и распределение дотаций на выравнивание бюджетной обеспеченности поселений утверждаются решением о бюджете района на очередной финансовый год и плановый период.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2.5. Комитет по финансам заключает с главами администраций поселений городского и сельских поселений в границах Белоярского района, получающих дотации на выравнивание бюджетной обеспеченност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 поселений, соглашения, которыми предусматриваются меры по социально-экономическому развитию и оздоровлению муниципальных финансов поселения, в соответствии с порядком, утвержденным постановлением Правительства Ханты-Мансийского автономного округа - Югры.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2.6. Дотации на выравниван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ие бюджетной обеспеченности поселений предоставляются бюджетам поселений ежемесячно в соответствии со сводной бюджетной росписью при соблюдении условий соглашений о мерах по социально-экономическому развитию и оздоровлению муниципальных финансов поселений.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III. Порядок предоставления субсидий бюджетам поселений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3.1. Субсидии из бюджета района бюджетам поселений предоставляются в случае реализации мероприятий муниципальных программ, обеспечивающих достижение установленных целей и показателей.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(п. 3.1 в ред. </w:t>
      </w:r>
      <w:hyperlink r:id="rId27" w:tooltip="https://login.consultant.ru/link/?req=doc&amp;amp;base=RLAW926&amp;amp;n=285793&amp;amp;dst=100006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решения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10.08.2023 N 35)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3.2. Субсидии из бюджета района бюджетам поселений формируются в бюджете района за счет: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субсидий из бюджета Ханты-Мансийского автономного округа - Югры, в целях софинансирования расходных обязательств, возникающих при выполнении полномочий по решению вопросов местного значения;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субсидий за счет средств бюджета района, в целях софинансирования расходных обязательств, возникающих при выполнении полномочий по решению вопросов местного значения.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3.3. Предоставление субсидий бюджетам поселений осуществляется при условии заключения соглашений о предоставлении субсидий между администрацией района и администрациями поселений (далее - Соглашения).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3.4. Цели и условия предоставления субсидий из бюджета района устанавливаются Соглашениями, заключаемыми в порядке, установленном согласно </w:t>
      </w:r>
      <w:hyperlink r:id="rId28" w:tooltip="#Par125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приложению 1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к настоящим Правилам.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3.5. Распределение субсидий бюджетам поселений из бюджета района утверждается решением о бюджете района на очередной финансовый год и плановый период по каждому поселению.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3.6. Перечисление субсидий из бюджета района в бюджеты поселений: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за счет средств бюджета Ханты-Мансийского автономного округа - Югры осуществляется в соответствии со сводной бюджетной росписью после поступления средств из бюджета Ханты-Мансийского автономного округа - Югры;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за счет средств бюджета района осуществляется в соответствии со сводной бюджетной росписью.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IV. Порядок предоставления иных межбюджетных трансфертов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бюджетам поселений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4.1. Иные межбюджетные трансферты бюджетам поселений из бюджета района могут предоставляться в случаях: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осуществления органами местного самоуправления поселений полномочий, переданных органами местного самоуправления района на основании соглашений;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обеспечения сбалансированности местных бюджетов;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поощрения достижения наилучших показателей деятельности органов местного самоуправления поселений;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поощрения за достижение высоких показателей качества организации и осуществления бюджетного процесса по результатам оценок;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(абзац введен </w:t>
      </w:r>
      <w:hyperlink r:id="rId29" w:tooltip="https://login.consultant.ru/link/?req=doc&amp;amp;base=RLAW926&amp;amp;n=285793&amp;amp;dst=100008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решением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10.08.2023 N 35)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иных случаях, при предоставл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ении межбюджетных трансфертов из бюджета Ханты-Мансийского автономного округа - Югры на основании нормативных правовых актов Ханты-Мансийского автономного округа - Югры, направленных на выполнение полномочий по решению вопросов местного значения поселений.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(в ред. </w:t>
      </w:r>
      <w:hyperlink r:id="rId30" w:tooltip="https://login.consultant.ru/link/?req=doc&amp;amp;base=RLAW926&amp;amp;n=318926&amp;amp;dst=100006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решения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20.02.2025 N 4)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4.2. Условием предоставления иных межбюджетных трансфертов бюдж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етам поселений из бюджета района для осуществления части полномочий по вопросам местного значения является заключение соглашений о передаче осуществления части полномочий между органами местного самоуправления в порядке, установленном решением Думы района.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Расчет объема иных межбюджетных трансфертов, представляемых бюджетам поселений из бюджета района для исполнения переданных полномочий, осуществляется в соответствии с </w:t>
      </w:r>
      <w:hyperlink r:id="rId31" w:tooltip="#Par162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Методикой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расчета объема иных межбюджетных трансфертов для осуществления переданных полномочий, предоставляемых бюджетам поселений из бюджета района, согласно приложению 2 к настоящим Правилам.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Объем и распределение иных межбюджетных трансфертов бюджетам поселени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й на осуществление органами местного самоуправления поселений полномочий, переданных органами местного самоуправления района на основании соглашений, утверждаются решением о бюджете района на очередной финансовый год и плановый период по каждому поселению.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Иные межбюджетные трансферты бюджетам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поселений на осуществление органами местного самоуправления поселений полномочий, переданных органами местного самоуправления района на основании соглашений, из бюджета района перечисляются в бюджеты поселений в соответствии со сводной бюджетной росписью.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Расходование бюджетам поселений на осуществление органами местного самоуправления поселений полномочий, переданных орг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анами местного самоуправления района на основании соглашений, из бюджета района носит целевой характер, ответственность за целевое использование трансфертов несут органы местного самоуправления поселений, которым предоставлены иные межбюджетные трансферты.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Не использованные в текущем финансовом году иные межбюджетные тр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ансферты бюджетам поселений на осуществление органами местного самоуправления поселений полномочий, переданных органами местного самоуправления района на основании соглашений, из бюджета района, подлежат возврату в соответствии с заключенными соглашениями.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4.3. При недостатке доходов для финансового обеспечения расходных обязательств поселений из бюджета района предоставляются иные межбюджетные трансферты на обеспечение сбалансированности местных бюджетов.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Расчет объема иных межбюджетных трансфертов бюджетам поселений из бюджета района на обеспечение сбалансированности местных бюджетов осуществляется в соответствии с </w:t>
      </w:r>
      <w:hyperlink r:id="rId32" w:tooltip="https://login.consultant.ru/link/?req=doc&amp;amp;base=RLAW926&amp;amp;n=295961&amp;amp;dst=100011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Методикой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, утвержденной постановлением администрации Белоярск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ого района от 13 апреля 2011 года N 501 "Об утверждении методики расчета иных межбюджетных трансфертов бюджетам городского и сельских поселений в границах Белоярского района из бюджета Белоярского района на обеспечение сбалансированности местных бюджетов".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Иные межбюджетные трансферты бюджетам поселений на обеспечение сбалансированности местных бюджетов из бюджета района перечисляются в бюджеты поселений в соответствии со сводной бюджетной росписью.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4.4. В целях повышения эффективности работы органов местного самоуправления поселений, развития и укрепления экономического потенциала поселений из бюджета района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предоставляются иные межбюджетные трансферты на поощрение достижения наилучших показателей деятельности органов местного самоуправления поселений в соответствии с </w:t>
      </w:r>
      <w:hyperlink r:id="rId33" w:tooltip="https://login.consultant.ru/link/?req=doc&amp;amp;base=RLAW926&amp;amp;n=298963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постановлением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администрации Белоярского района от 12 апреля 2011 года N 495 "О ежегодном районном смотре-конкурсе по итогам работы органов местного самоуправления сельских поселений на звание "Лучшее сельское поселение Белоярского района".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Общий объем иных межбюджетных трансфертов устанавливается в размере поощрит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ельного фонда ежегодного районного смотра-конкурса и распределяется на основании постановления администрации Белоярского района об итогах районного смотра-конкурса, в соответствии со сводной бюджетной росписью, в пределах средств, утвержденных на эти цели.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4.5. В целях повышения качества организации и осуществления бюджетного процесса в сельских поселениях района из бюджета района 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редоставляются иные межбюджетные трансферты на поощрение достижения высоких показателей качества организации и осуществления бюджетного процесса по результатам оценок в соответствии с порядком, установленным постановлением администрации Белоярского района.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Предоставление иных межбюджетных трансфертов на поощрение дост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ижения высоких показателей качества организации и осуществления бюджетного процесса осуществляется в соответствии с постановлением администрации Белоярского района, в соответствии со сводной бюджетной росписью, в пределах средств, утвержденных на эти цели.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(п. 4.5 введен </w:t>
      </w:r>
      <w:hyperlink r:id="rId34" w:tooltip="https://login.consultant.ru/link/?req=doc&amp;amp;base=RLAW926&amp;amp;n=285793&amp;amp;dst=100010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решением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Думы Белоярского района от 10.08.2023 N 35)</w:t>
      </w:r>
      <w:r/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shd w:val="nil"/>
        <w:rPr>
          <w:rFonts w:ascii="Times New Roman" w:hAnsi="Times New Roman" w:eastAsia="Times New Roman" w:cs="Times New Roman"/>
          <w:b w:val="0"/>
          <w:bCs w:val="0"/>
          <w:i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br w:type="page" w:clear="all"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Приложение 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к Правилам предоставления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межбюджетных трансфертов из бюджета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Белоярского района бюджетам городского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и сельских поселений в границах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Белоярского района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/>
      <w:bookmarkStart w:id="2" w:name="Par125"/>
      <w:r/>
      <w:bookmarkEnd w:id="2"/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ПОРЯДОК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ЗАКЛЮЧЕНИЯ СОГЛАШЕНИЙ С АДМИНИСТРАЦИЯМИ ГОРОДСКОГО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И СЕЛЬСКИХ ПОСЕЛЕНИЙ В ГРАНИЦАХ БЕЛОЯРСКОГО РАЙОНА В ЦЕЛЯХ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СОФИНАНСИРОВАНИЯ РАСХОДНЫХ ОБЯЗАТЕЛЬСТВ, ВОЗНИКАЮЩИХ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ПРИ ВЫПОЛНЕНИИ ПОЛНОМОЧИЙ ПО РЕШЕНИЮ ВОПРОСОВ МЕСТНОГО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ЗНАЧЕНИЯ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</w:pPr>
      <w:r/>
      <w:r/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60"/>
        <w:gridCol w:w="113"/>
        <w:gridCol w:w="935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9351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Список изменяющих документов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  <w:p>
            <w:pPr>
              <w:pStyle w:val="626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(в ред. </w:t>
            </w:r>
            <w:hyperlink r:id="rId35" w:tooltip="https://login.consultant.ru/link/?req=doc&amp;amp;base=RLAW926&amp;amp;n=318926&amp;amp;dst=100008" w:history="1">
              <w:r>
                <w:rPr>
                  <w:rStyle w:val="637"/>
                </w:rPr>
              </w:r>
              <w:r>
                <w:rPr>
                  <w:rStyle w:val="637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color w:val="0000ff"/>
                  <w:position w:val="0"/>
                  <w:sz w:val="24"/>
                  <w:szCs w:val="24"/>
                  <w:u w:val="none"/>
                </w:rPr>
                <w:t xml:space="preserve">решения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  <w:t xml:space="preserve"> Думы Белоярского района от 20.02.2025 N 4)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392c69"/>
                <w:position w:val="0"/>
                <w:sz w:val="24"/>
                <w:szCs w:val="24"/>
                <w:u w:val="none"/>
              </w:rPr>
            </w:r>
          </w:p>
        </w:tc>
      </w:tr>
    </w:tbl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 Подписание Соглашений осуществляет администрация Белоярского района. Соглаше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ния заключаются от имени муниципальных образований. От имени муниципального образования Белоярский район соглашение подписывает глава Белоярского района. Проект Соглашения разрабатывается отраслевым органом администрации района по направлению деятельности.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 В случае предоставления субсидий за счет средств бюджета Ханты-Мансийского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автономного округа - Югры, в целях софинансирования расходных обязательств, возникающих при выполнении полномочий по решению вопросов местного значения, в соглашении содержатся положения, аналогичные установленным </w:t>
      </w:r>
      <w:hyperlink r:id="rId36" w:tooltip="https://login.consultant.ru/link/?req=doc&amp;amp;base=RLAW926&amp;amp;n=333563&amp;amp;dst=100037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пунктом 10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Правил формирования, предоставления и распределения субсидий из бюджета Ханты-Мансийского автономного округа - Югры местным бюджетам,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утвержденных постановлением Правительства Ханты-Мансийского автономного округа - Югры от 6 декабря 2019 года N 475-п "О правилах формирования, предоставления и распределения субсидий из бюджета Ханты-Мансийского автономного округа - Югры местным бюджетам".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 В случае предоставления субсидий за счет средств бюджета района, в целях софинансирования расходных обязательств, возникающих при выполнении полномочий по решению вопросов местного значения, в соглашении содержится следующие положения: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1) наименование, дата и место его заключения;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2) наименование сторон Соглашения (органов местного самоуправления, представляющих муниципальные образования, между которыми заключается Соглашение), наименование долж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ности, фамилия, имя, отчество должностных лиц органов местного самоуправления, действующих от имени указанных органов местного самоуправления, наименование нормативных правовых актов, на основании которых действуют названные лица при заключении Соглашения;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3) предмет с указанием цели предоставления субсидии;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4) финансовое обеспечение расходных обязательств, в целях софинансирования которых предоставляется субсидия;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5) порядок, условия предоставления и сроки перечисления субсидии;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6) взаимодействие сторон Соглашения;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7)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8) заключительные положения (указывается порядок урегулирования сторон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ами споров, срок, на который заключается Соглашение, и дата вступления его в силу, ответственность сторон за невыполнение либо ненадлежащее выполнение условий Соглашения (указываются основания наступления и виды ответственности за неисполнение Соглашения);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9) платежные реквизиты обеих сторон Соглашения;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10) подписи обеих сторон Соглашения.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4. Соглашение считается заключенным, если оно оформлено в письменной форме, подписано уполномоченными должностными лицами и скреплено печатями сторон Соглашения.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5. Учет, регистрацию и хранение заключенных Соглашений осуществляет Комитет по финансам и налоговой политике администрации Белоярского района.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6. Внесение изменений и дополнений в Соглашения осуществляется путем подписания Сторонами дополнительных Соглашений.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shd w:val="nil"/>
        <w:rPr>
          <w:rFonts w:ascii="Times New Roman" w:hAnsi="Times New Roman" w:eastAsia="Times New Roman" w:cs="Times New Roman"/>
          <w:b w:val="0"/>
          <w:bCs w:val="0"/>
          <w:i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br w:type="page" w:clear="all"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Приложение 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к Правилам предоставления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межбюджетных трансфертов из бюджета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Белоярского района бюджетам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городского и сельских поселений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в границах Белоярского района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/>
      <w:bookmarkStart w:id="3" w:name="Par162"/>
      <w:r/>
      <w:bookmarkEnd w:id="3"/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МЕТОДИКА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РАСЧЕТА ОБЪЕМА ИНЫХ МЕЖБЮДЖЕТНЫХ ТРАНСФЕРТОВ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ДЛЯ ОСУЩЕСТВЛЕНИЯ ПЕРЕДАННЫХ ПОЛНОМОЧИЙ, ПРЕДОСТАВЛЯЕМЫХ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БЮДЖЕТАМ ГОРОДСКОГО И СЕЛЬСКИХ ПОСЕЛЕНИЙ В ГРАНИЦАХ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БЕЛОЯРСКОГО РАЙОНА ИЗ БЮДЖЕТА БЕЛОЯРСКОГО РАЙОНА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Расчет объема иных межбюджетных трансфертов для осуществления переданных полномочий, предоставляемых бюджетам городского и сельских поселений в границах Белоярского района из бюджета Белоярского района, осуществляется по следующей формуле: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V i = N i + S i, где: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1. V i - объем иных межбюджетных трансфертов для осуществления переданных полномочий, предоставляемых бюджету i-го поселения в границах Белоярского района из бюджета Белоярского района;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2. N i - объем межбюджетных трансфертов, необходимый для осуществления органами местного самоуправления i-го поселения полномочий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органов местного самоуправления Белоярского района, определяется исходя из планируемого объема финансовых затрат на осуществление передаваемых полномочий, установленных расчетным путем отдельно по каждому полномочию согласно действующему законодательству;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3. S i = Рот + Ртек, где: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1) S i - объем иных межбюджетных средств, предоставляемых бюджету i-го поселений Белоярского района из бюджета Белоярского района, необходимого для осуществления переданных полномочий в части расходов на содержание органов местного самоуправления;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2) Рот = F x Кесн x kот x kнп, где: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Рот - норматив расходов на содержание 1 работника;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F - годовой фонд оплаты труда, рассчитанный по максимальному окладу на одного муниципального служащего, замещающего должность "специалист" категории "обеспечивающий специалист" группы "младшая", согласно </w:t>
      </w:r>
      <w:hyperlink r:id="rId37" w:tooltip="https://login.consultant.ru/link/?req=doc&amp;amp;base=RLAW926&amp;amp;n=333910" w:history="1">
        <w:r>
          <w:rPr>
            <w:rStyle w:val="637"/>
          </w:rPr>
        </w:r>
        <w:r>
          <w:rPr>
            <w:rStyle w:val="637"/>
            <w:rFonts w:ascii="Times New Roman" w:hAnsi="Times New Roman" w:eastAsia="Times New Roman" w:cs="Times New Roman"/>
            <w:b w:val="0"/>
            <w:bCs w:val="0"/>
            <w:i w:val="0"/>
            <w:iCs w:val="0"/>
            <w:strike w:val="0"/>
            <w:color w:val="0000ff"/>
            <w:position w:val="0"/>
            <w:sz w:val="24"/>
            <w:szCs w:val="24"/>
            <w:u w:val="none"/>
          </w:rPr>
          <w:t xml:space="preserve">постановлению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 Правительства Ханты-Мансийского автономного округа - Югры от 23 авгу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ста 2019 года N 278-п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- Югре";</w:t>
      </w:r>
      <w:r/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Кесн - годовой объем расходов, необходимый для осуществления обязательных страховых выплат, рассчитанный в соответствии с требованиями федерального законодательства;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spacing w:before="240" w:after="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kот - коэффициент для определения размера оплаты труда, устанавливаемый в зависимости от вида и численности постоянного населения соответствующего муниципального образования автономного округа: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Коэффициент для определения размера оплаты труда,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устанавливаемый в зависимости от вида и численности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постоянного населения муниципального образования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6803"/>
        <w:gridCol w:w="2268"/>
      </w:tblGrid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Группа поселений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Коэффициент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Численность населения свыше 5000 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1,0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Численность населения до 5000 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0,6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</w:tbl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kнп - коэффициент количества населенных пунктов в соответствующем поселении: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  <w:t xml:space="preserve">Коэффициент количества населенных пунктов в поселении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6803"/>
        <w:gridCol w:w="2268"/>
      </w:tblGrid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Количество населенных пунктов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Коэффициент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До 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1,2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6803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Свыше 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68" w:type="dxa"/>
            <w:textDirection w:val="lrTb"/>
            <w:noWrap w:val="false"/>
          </w:tcPr>
          <w:p>
            <w:pPr>
              <w:pStyle w:val="626"/>
              <w:ind w:left="0" w:right="0" w:firstLine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position w:val="0"/>
                <w:sz w:val="24"/>
                <w:szCs w:val="24"/>
                <w:u w:val="none"/>
              </w:rPr>
            </w:r>
          </w:p>
        </w:tc>
      </w:tr>
    </w:tbl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3) Ртек - текущие расходы, устанавливаемые в размере 25% от норматива расходов на содержание 1 работника с учетом коэффициента для определения размера оплаты труда: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54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  <w:t xml:space="preserve">Ртек = Рот x 25%.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szCs w:val="24"/>
          <w:u w:val="none"/>
        </w:rPr>
      </w:r>
    </w:p>
    <w:p>
      <w:pPr>
        <w:pStyle w:val="626"/>
        <w:ind w:left="0" w:right="0" w:firstLine="0"/>
        <w:jc w:val="both"/>
        <w:spacing w:before="100" w:after="100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u w:val="none"/>
        </w:rPr>
        <w:pBdr>
          <w:top w:val="single" w:color="000000" w:sz="1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position w:val="0"/>
          <w:sz w:val="24"/>
          <w:u w:val="none"/>
        </w:rPr>
      </w:r>
    </w:p>
    <w:p>
      <w:pPr>
        <w:pStyle w:val="620"/>
      </w:pPr>
      <w:r/>
      <w:r/>
    </w:p>
    <w:sectPr>
      <w:footnotePr/>
      <w:endnotePr/>
      <w:type w:val="nextPage"/>
      <w:pgSz w:w="11905" w:h="16837" w:orient="portrait"/>
      <w:pgMar w:top="1134" w:right="1134" w:bottom="1134" w:left="1134" w:header="1134" w:footer="113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SimSun">
    <w:panose1 w:val="02010600030101010101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bullet"/>
      <w:isLgl w:val="false"/>
      <w:suff w:val="tab"/>
      <w:lvlText w:val="§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bullet"/>
      <w:isLgl w:val="false"/>
      <w:suff w:val="tab"/>
      <w:lvlText w:val="·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bullet"/>
      <w:isLgl w:val="false"/>
      <w:suff w:val="tab"/>
      <w:lvlText w:val="o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bullet"/>
      <w:isLgl w:val="false"/>
      <w:suff w:val="tab"/>
      <w:lvlText w:val="§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bullet"/>
      <w:isLgl w:val="false"/>
      <w:suff w:val="tab"/>
      <w:lvlText w:val="·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bullet"/>
      <w:isLgl w:val="false"/>
      <w:suff w:val="tab"/>
      <w:lvlText w:val="o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bullet"/>
      <w:isLgl w:val="false"/>
      <w:suff w:val="tab"/>
      <w:lvlText w:val="§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">
    <w:name w:val="Normal"/>
    <w:qFormat/>
  </w:style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11"/>
    <w:link w:val="624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paragraph" w:styleId="619" w:default="1">
    <w:name w:val="DStyle_paragraph"/>
    <w:rPr>
      <w:rFonts w:ascii="Times New Roman" w:hAnsi="Times New Roman" w:eastAsia="SimSun" w:cs="Arial"/>
      <w:color w:val="auto"/>
      <w:sz w:val="24"/>
      <w:szCs w:val="24"/>
      <w:lang w:val="ru-RU" w:eastAsia="zh-CN" w:bidi="hi-IN"/>
    </w:rPr>
  </w:style>
  <w:style w:type="paragraph" w:styleId="620" w:customStyle="1">
    <w:name w:val="Standard"/>
    <w:basedOn w:val="619"/>
  </w:style>
  <w:style w:type="paragraph" w:styleId="621" w:customStyle="1">
    <w:name w:val="Heading"/>
    <w:basedOn w:val="620"/>
    <w:next w:val="622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622" w:customStyle="1">
    <w:name w:val="Text body"/>
    <w:basedOn w:val="620"/>
    <w:qFormat/>
    <w:pPr>
      <w:spacing w:before="0" w:after="120"/>
    </w:pPr>
  </w:style>
  <w:style w:type="paragraph" w:styleId="623" w:customStyle="1">
    <w:name w:val="List"/>
    <w:basedOn w:val="622"/>
    <w:rPr>
      <w:rFonts w:cs="Arial"/>
    </w:rPr>
  </w:style>
  <w:style w:type="paragraph" w:styleId="624" w:customStyle="1">
    <w:name w:val="Caption"/>
    <w:basedOn w:val="620"/>
    <w:pPr>
      <w:spacing w:before="120" w:after="120"/>
    </w:pPr>
    <w:rPr>
      <w:rFonts w:cs="Arial"/>
      <w:i/>
      <w:iCs/>
      <w:sz w:val="24"/>
      <w:szCs w:val="24"/>
    </w:rPr>
  </w:style>
  <w:style w:type="paragraph" w:styleId="625" w:customStyle="1">
    <w:name w:val="Index"/>
    <w:basedOn w:val="620"/>
    <w:rPr>
      <w:rFonts w:cs="Arial"/>
    </w:rPr>
  </w:style>
  <w:style w:type="paragraph" w:styleId="626" w:customStyle="1">
    <w:name w:val="ConsPlusNormal"/>
    <w:basedOn w:val="619"/>
    <w:rPr>
      <w:rFonts w:ascii="Times New Roman" w:hAnsi="Times New Roman" w:eastAsia="Times New Roman" w:cs="Times New Roman"/>
      <w:b w:val="0"/>
      <w:bCs w:val="0"/>
      <w:i w:val="0"/>
      <w:iCs w:val="0"/>
      <w:strike w:val="0"/>
      <w:position w:val="0"/>
      <w:sz w:val="24"/>
      <w:szCs w:val="24"/>
      <w:u w:val="none"/>
    </w:rPr>
  </w:style>
  <w:style w:type="paragraph" w:styleId="627" w:customStyle="1">
    <w:name w:val="ConsPlusNonformat"/>
    <w:basedOn w:val="619"/>
    <w:next w:val="626"/>
    <w:rPr>
      <w:rFonts w:ascii="Courier New" w:hAnsi="Courier New" w:eastAsia="Courier New" w:cs="Courier New"/>
      <w:b w:val="0"/>
      <w:bCs w:val="0"/>
      <w:i w:val="0"/>
      <w:iCs w:val="0"/>
      <w:strike w:val="0"/>
      <w:position w:val="0"/>
      <w:sz w:val="20"/>
      <w:szCs w:val="20"/>
      <w:u w:val="none"/>
    </w:rPr>
  </w:style>
  <w:style w:type="paragraph" w:styleId="628" w:customStyle="1">
    <w:name w:val="ConsPlusTitle"/>
    <w:basedOn w:val="619"/>
    <w:next w:val="626"/>
    <w:rPr>
      <w:rFonts w:ascii="Times New Roman" w:hAnsi="Times New Roman" w:eastAsia="Times New Roman" w:cs="Times New Roman"/>
      <w:b/>
      <w:bCs/>
      <w:i w:val="0"/>
      <w:iCs w:val="0"/>
      <w:strike w:val="0"/>
      <w:position w:val="0"/>
      <w:sz w:val="24"/>
      <w:szCs w:val="24"/>
      <w:u w:val="none"/>
    </w:rPr>
  </w:style>
  <w:style w:type="paragraph" w:styleId="629" w:customStyle="1">
    <w:name w:val="ConsPlusCell"/>
    <w:basedOn w:val="619"/>
    <w:next w:val="626"/>
    <w:rPr>
      <w:rFonts w:ascii="Courier New" w:hAnsi="Courier New" w:eastAsia="Courier New" w:cs="Courier New"/>
      <w:b w:val="0"/>
      <w:bCs w:val="0"/>
      <w:i w:val="0"/>
      <w:iCs w:val="0"/>
      <w:strike w:val="0"/>
      <w:position w:val="0"/>
      <w:sz w:val="20"/>
      <w:szCs w:val="20"/>
      <w:u w:val="none"/>
    </w:rPr>
  </w:style>
  <w:style w:type="paragraph" w:styleId="630" w:customStyle="1">
    <w:name w:val="ConsPlusDocList"/>
    <w:basedOn w:val="619"/>
    <w:next w:val="626"/>
    <w:rPr>
      <w:rFonts w:ascii="Times New Roman" w:hAnsi="Times New Roman" w:eastAsia="Times New Roman" w:cs="Times New Roman"/>
      <w:b w:val="0"/>
      <w:bCs w:val="0"/>
      <w:i w:val="0"/>
      <w:iCs w:val="0"/>
      <w:strike w:val="0"/>
      <w:position w:val="0"/>
      <w:sz w:val="24"/>
      <w:szCs w:val="24"/>
      <w:u w:val="none"/>
    </w:rPr>
  </w:style>
  <w:style w:type="paragraph" w:styleId="631" w:customStyle="1">
    <w:name w:val="ConsPlusTitlePage"/>
    <w:basedOn w:val="619"/>
    <w:next w:val="626"/>
    <w:rPr>
      <w:rFonts w:ascii="Tahoma" w:hAnsi="Tahoma" w:eastAsia="Tahoma" w:cs="Tahoma"/>
      <w:b w:val="0"/>
      <w:bCs w:val="0"/>
      <w:i w:val="0"/>
      <w:iCs w:val="0"/>
      <w:strike w:val="0"/>
      <w:position w:val="0"/>
      <w:sz w:val="24"/>
      <w:szCs w:val="24"/>
      <w:u w:val="none"/>
    </w:rPr>
  </w:style>
  <w:style w:type="paragraph" w:styleId="632" w:customStyle="1">
    <w:name w:val="ConsPlusJurTerm"/>
    <w:basedOn w:val="619"/>
    <w:next w:val="626"/>
    <w:rPr>
      <w:rFonts w:ascii="Tahoma" w:hAnsi="Tahoma" w:eastAsia="Tahoma" w:cs="Tahoma"/>
      <w:b w:val="0"/>
      <w:bCs w:val="0"/>
      <w:i w:val="0"/>
      <w:iCs w:val="0"/>
      <w:strike w:val="0"/>
      <w:position w:val="0"/>
      <w:sz w:val="26"/>
      <w:szCs w:val="26"/>
      <w:u w:val="none"/>
    </w:rPr>
  </w:style>
  <w:style w:type="paragraph" w:styleId="633" w:customStyle="1">
    <w:name w:val="ConsPlusTextList"/>
    <w:basedOn w:val="619"/>
    <w:next w:val="626"/>
    <w:rPr>
      <w:rFonts w:ascii="Arial" w:hAnsi="Arial" w:eastAsia="Arial" w:cs="Arial"/>
      <w:b w:val="0"/>
      <w:bCs w:val="0"/>
      <w:i w:val="0"/>
      <w:iCs w:val="0"/>
      <w:strike w:val="0"/>
      <w:position w:val="0"/>
      <w:sz w:val="20"/>
      <w:szCs w:val="20"/>
      <w:u w:val="none"/>
    </w:rPr>
  </w:style>
  <w:style w:type="paragraph" w:styleId="634" w:customStyle="1">
    <w:name w:val="WW-ConsPlusTextList"/>
    <w:basedOn w:val="619"/>
    <w:next w:val="626"/>
    <w:rPr>
      <w:rFonts w:ascii="Arial" w:hAnsi="Arial" w:eastAsia="Arial" w:cs="Arial"/>
      <w:b w:val="0"/>
      <w:bCs w:val="0"/>
      <w:i w:val="0"/>
      <w:iCs w:val="0"/>
      <w:strike w:val="0"/>
      <w:position w:val="0"/>
      <w:sz w:val="20"/>
      <w:szCs w:val="20"/>
      <w:u w:val="none"/>
    </w:rPr>
  </w:style>
  <w:style w:type="paragraph" w:styleId="635" w:customStyle="1">
    <w:name w:val="Table Contents"/>
    <w:basedOn w:val="620"/>
    <w:qFormat/>
  </w:style>
  <w:style w:type="paragraph" w:styleId="636" w:customStyle="1">
    <w:name w:val="Table Heading"/>
    <w:basedOn w:val="635"/>
    <w:qFormat/>
    <w:pPr>
      <w:jc w:val="center"/>
    </w:pPr>
    <w:rPr>
      <w:b/>
      <w:bCs/>
    </w:rPr>
  </w:style>
  <w:style w:type="character" w:styleId="637" w:customStyle="1">
    <w:name w:val="Internet link"/>
    <w:basedOn w:val="619"/>
    <w:qFormat/>
    <w:rPr>
      <w:color w:val="000080"/>
      <w:u w:val="single"/>
    </w:rPr>
  </w:style>
  <w:style w:type="character" w:styleId="1838" w:default="1">
    <w:name w:val="Default Paragraph Font"/>
    <w:uiPriority w:val="1"/>
    <w:semiHidden/>
    <w:unhideWhenUsed/>
  </w:style>
  <w:style w:type="numbering" w:styleId="1839" w:default="1">
    <w:name w:val="No List"/>
    <w:uiPriority w:val="99"/>
    <w:semiHidden/>
    <w:unhideWhenUsed/>
  </w:style>
  <w:style w:type="table" w:styleId="1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consultant.ru/" TargetMode="External"/><Relationship Id="rId10" Type="http://schemas.openxmlformats.org/officeDocument/2006/relationships/hyperlink" Target="https://login.consultant.ru/link/?req=doc&amp;amp;base=RLAW926&amp;amp;n=285793&amp;amp;dst=100005" TargetMode="External"/><Relationship Id="rId11" Type="http://schemas.openxmlformats.org/officeDocument/2006/relationships/hyperlink" Target="https://login.consultant.ru/link/?req=doc&amp;amp;base=RLAW926&amp;amp;n=318926&amp;amp;dst=100005" TargetMode="External"/><Relationship Id="rId12" Type="http://schemas.openxmlformats.org/officeDocument/2006/relationships/hyperlink" Target="https://login.consultant.ru/link/?req=doc&amp;amp;base=LAW&amp;amp;n=511241&amp;amp;dst=5745" TargetMode="External"/><Relationship Id="rId13" Type="http://schemas.openxmlformats.org/officeDocument/2006/relationships/hyperlink" Target="https://login.consultant.ru/link/?req=doc&amp;amp;base=LAW&amp;amp;n=511241&amp;amp;dst=5754" TargetMode="External"/><Relationship Id="rId14" Type="http://schemas.openxmlformats.org/officeDocument/2006/relationships/hyperlink" Target="https://login.consultant.ru/link/?req=doc&amp;amp;base=LAW&amp;amp;n=511241&amp;amp;dst=5768" TargetMode="External"/><Relationship Id="rId15" Type="http://schemas.openxmlformats.org/officeDocument/2006/relationships/hyperlink" Target="https://login.consultant.ru/link/?req=doc&amp;amp;base=LAW&amp;amp;n=511241&amp;amp;dst=4210" TargetMode="External"/><Relationship Id="rId16" Type="http://schemas.openxmlformats.org/officeDocument/2006/relationships/hyperlink" Target="https://login.consultant.ru/link/?req=doc&amp;amp;base=RLAW926&amp;amp;n=313251&amp;amp;dst=100800" TargetMode="External"/><Relationship Id="rId17" Type="http://schemas.openxmlformats.org/officeDocument/2006/relationships/hyperlink" Target="#Par37" TargetMode="External"/><Relationship Id="rId18" Type="http://schemas.openxmlformats.org/officeDocument/2006/relationships/hyperlink" Target="https://login.consultant.ru/link/?req=doc&amp;amp;base=RLAW926&amp;amp;n=157633" TargetMode="External"/><Relationship Id="rId19" Type="http://schemas.openxmlformats.org/officeDocument/2006/relationships/hyperlink" Target="https://login.consultant.ru/link/?req=doc&amp;amp;base=RLAW926&amp;amp;n=155725" TargetMode="External"/><Relationship Id="rId20" Type="http://schemas.openxmlformats.org/officeDocument/2006/relationships/hyperlink" Target="https://login.consultant.ru/link/?req=doc&amp;amp;base=RLAW926&amp;amp;n=285793&amp;amp;dst=100005" TargetMode="External"/><Relationship Id="rId21" Type="http://schemas.openxmlformats.org/officeDocument/2006/relationships/hyperlink" Target="https://login.consultant.ru/link/?req=doc&amp;amp;base=RLAW926&amp;amp;n=318926&amp;amp;dst=100005" TargetMode="External"/><Relationship Id="rId22" Type="http://schemas.openxmlformats.org/officeDocument/2006/relationships/hyperlink" Target="https://login.consultant.ru/link/?req=doc&amp;amp;base=LAW&amp;amp;n=511241&amp;amp;dst=2068" TargetMode="External"/><Relationship Id="rId23" Type="http://schemas.openxmlformats.org/officeDocument/2006/relationships/hyperlink" Target="https://login.consultant.ru/link/?req=doc&amp;amp;base=LAW&amp;amp;n=511241&amp;amp;dst=2141" TargetMode="External"/><Relationship Id="rId24" Type="http://schemas.openxmlformats.org/officeDocument/2006/relationships/hyperlink" Target="https://login.consultant.ru/link/?req=doc&amp;amp;base=LAW&amp;amp;n=511241" TargetMode="External"/><Relationship Id="rId25" Type="http://schemas.openxmlformats.org/officeDocument/2006/relationships/hyperlink" Target="https://login.consultant.ru/link/?req=doc&amp;amp;base=RLAW926&amp;amp;n=313251" TargetMode="External"/><Relationship Id="rId26" Type="http://schemas.openxmlformats.org/officeDocument/2006/relationships/hyperlink" Target="https://login.consultant.ru/link/?req=doc&amp;amp;base=LAW&amp;amp;n=511241" TargetMode="External"/><Relationship Id="rId27" Type="http://schemas.openxmlformats.org/officeDocument/2006/relationships/hyperlink" Target="https://login.consultant.ru/link/?req=doc&amp;amp;base=RLAW926&amp;amp;n=285793&amp;amp;dst=100006" TargetMode="External"/><Relationship Id="rId28" Type="http://schemas.openxmlformats.org/officeDocument/2006/relationships/hyperlink" Target="#Par125" TargetMode="External"/><Relationship Id="rId29" Type="http://schemas.openxmlformats.org/officeDocument/2006/relationships/hyperlink" Target="https://login.consultant.ru/link/?req=doc&amp;amp;base=RLAW926&amp;amp;n=285793&amp;amp;dst=100008" TargetMode="External"/><Relationship Id="rId30" Type="http://schemas.openxmlformats.org/officeDocument/2006/relationships/hyperlink" Target="https://login.consultant.ru/link/?req=doc&amp;amp;base=RLAW926&amp;amp;n=318926&amp;amp;dst=100006" TargetMode="External"/><Relationship Id="rId31" Type="http://schemas.openxmlformats.org/officeDocument/2006/relationships/hyperlink" Target="#Par162" TargetMode="External"/><Relationship Id="rId32" Type="http://schemas.openxmlformats.org/officeDocument/2006/relationships/hyperlink" Target="https://login.consultant.ru/link/?req=doc&amp;amp;base=RLAW926&amp;amp;n=295961&amp;amp;dst=100011" TargetMode="External"/><Relationship Id="rId33" Type="http://schemas.openxmlformats.org/officeDocument/2006/relationships/hyperlink" Target="https://login.consultant.ru/link/?req=doc&amp;amp;base=RLAW926&amp;amp;n=298963" TargetMode="External"/><Relationship Id="rId34" Type="http://schemas.openxmlformats.org/officeDocument/2006/relationships/hyperlink" Target="https://login.consultant.ru/link/?req=doc&amp;amp;base=RLAW926&amp;amp;n=285793&amp;amp;dst=100010" TargetMode="External"/><Relationship Id="rId35" Type="http://schemas.openxmlformats.org/officeDocument/2006/relationships/hyperlink" Target="https://login.consultant.ru/link/?req=doc&amp;amp;base=RLAW926&amp;amp;n=318926&amp;amp;dst=100008" TargetMode="External"/><Relationship Id="rId36" Type="http://schemas.openxmlformats.org/officeDocument/2006/relationships/hyperlink" Target="https://login.consultant.ru/link/?req=doc&amp;amp;base=RLAW926&amp;amp;n=333563&amp;amp;dst=100037" TargetMode="External"/><Relationship Id="rId37" Type="http://schemas.openxmlformats.org/officeDocument/2006/relationships/hyperlink" Target="https://login.consultant.ru/link/?req=doc&amp;amp;base=RLAW926&amp;amp;n=3339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KrutovskayaOS</cp:lastModifiedBy>
  <cp:revision>1</cp:revision>
  <dcterms:created xsi:type="dcterms:W3CDTF">2025-10-28T09:26:00Z</dcterms:created>
  <dcterms:modified xsi:type="dcterms:W3CDTF">2025-10-28T09:31:04Z</dcterms:modified>
</cp:coreProperties>
</file>